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DD32E" w14:textId="77777777" w:rsidR="00580FC0" w:rsidRPr="00580FC0" w:rsidRDefault="00580FC0">
      <w:pPr>
        <w:rPr>
          <w:rFonts w:ascii="Arial" w:hAnsi="Arial" w:cs="Arial"/>
          <w:sz w:val="24"/>
          <w:szCs w:val="24"/>
        </w:rPr>
      </w:pPr>
      <w:r w:rsidRPr="00580FC0">
        <w:rPr>
          <w:rFonts w:ascii="Arial" w:hAnsi="Arial" w:cs="Arial"/>
          <w:sz w:val="24"/>
          <w:szCs w:val="24"/>
        </w:rPr>
        <w:drawing>
          <wp:inline distT="0" distB="0" distL="0" distR="0" wp14:anchorId="34DCF883" wp14:editId="5C271C79">
            <wp:extent cx="4870450" cy="2612903"/>
            <wp:effectExtent l="0" t="0" r="6350" b="0"/>
            <wp:docPr id="1567791629" name="Imagen 8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91629" name="Imagen 8" descr="Text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880" cy="263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BBB1" w14:textId="77777777" w:rsidR="00580FC0" w:rsidRPr="00580FC0" w:rsidRDefault="00580FC0">
      <w:pPr>
        <w:rPr>
          <w:rFonts w:ascii="Arial" w:hAnsi="Arial" w:cs="Arial"/>
          <w:sz w:val="24"/>
          <w:szCs w:val="24"/>
        </w:rPr>
      </w:pPr>
    </w:p>
    <w:p w14:paraId="5F99BA0B" w14:textId="6F697F8D" w:rsidR="00580FC0" w:rsidRDefault="00580FC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</w:t>
      </w:r>
      <w:r w:rsidRPr="00580FC0">
        <w:rPr>
          <w:rFonts w:ascii="Arial" w:hAnsi="Arial" w:cs="Arial"/>
          <w:b/>
          <w:bCs/>
          <w:sz w:val="24"/>
          <w:szCs w:val="24"/>
        </w:rPr>
        <w:t>Unidad 7: Evidencias de la Evolución</w:t>
      </w:r>
    </w:p>
    <w:p w14:paraId="55E45926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>CENTRO UNIVERSITARIO NACIONAL CUR</w:t>
      </w:r>
    </w:p>
    <w:p w14:paraId="343CDDA6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 xml:space="preserve"> MATAGALPA – MANAGUA</w:t>
      </w:r>
    </w:p>
    <w:p w14:paraId="1E0FF0CA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>Presentado por:</w:t>
      </w:r>
    </w:p>
    <w:p w14:paraId="649533CC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 xml:space="preserve"> Br. </w:t>
      </w:r>
      <w:proofErr w:type="spellStart"/>
      <w:r w:rsidRPr="00580FC0">
        <w:rPr>
          <w:rFonts w:ascii="Arial" w:hAnsi="Arial" w:cs="Arial"/>
          <w:b/>
          <w:bCs/>
          <w:sz w:val="24"/>
          <w:szCs w:val="24"/>
        </w:rPr>
        <w:t>Jeniffer</w:t>
      </w:r>
      <w:proofErr w:type="spellEnd"/>
      <w:r w:rsidRPr="00580FC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80FC0">
        <w:rPr>
          <w:rFonts w:ascii="Arial" w:hAnsi="Arial" w:cs="Arial"/>
          <w:b/>
          <w:bCs/>
          <w:sz w:val="24"/>
          <w:szCs w:val="24"/>
        </w:rPr>
        <w:t>Xikdally</w:t>
      </w:r>
      <w:proofErr w:type="spellEnd"/>
      <w:r w:rsidRPr="00580FC0">
        <w:rPr>
          <w:rFonts w:ascii="Arial" w:hAnsi="Arial" w:cs="Arial"/>
          <w:b/>
          <w:bCs/>
          <w:sz w:val="24"/>
          <w:szCs w:val="24"/>
        </w:rPr>
        <w:t xml:space="preserve"> Aguirre Pérez</w:t>
      </w:r>
    </w:p>
    <w:p w14:paraId="4AF0FEB6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 xml:space="preserve"> Br. Yara Tercero</w:t>
      </w:r>
    </w:p>
    <w:p w14:paraId="1A6871A6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 xml:space="preserve"> Br. Iris Tamara</w:t>
      </w:r>
    </w:p>
    <w:p w14:paraId="33DCA581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>Docentes:</w:t>
      </w:r>
    </w:p>
    <w:p w14:paraId="32C6022F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 xml:space="preserve"> Ing. Juan Cruz</w:t>
      </w:r>
    </w:p>
    <w:p w14:paraId="714E8104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 xml:space="preserve"> Ing. Feliz Gámez Tinoco</w:t>
      </w:r>
    </w:p>
    <w:p w14:paraId="6BB85C47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 xml:space="preserve"> Msc. Niria Adelaida Brown</w:t>
      </w:r>
    </w:p>
    <w:p w14:paraId="1AB90A4E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 xml:space="preserve"> Ing. Jhonton Trewin</w:t>
      </w:r>
    </w:p>
    <w:p w14:paraId="47CD0536" w14:textId="77777777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>Turno: Sabatino</w:t>
      </w:r>
    </w:p>
    <w:p w14:paraId="25BBB2DE" w14:textId="1F4DCF45" w:rsidR="00580FC0" w:rsidRPr="00580FC0" w:rsidRDefault="00580FC0" w:rsidP="00580FC0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 xml:space="preserve"> Año: IV Año – 2025</w:t>
      </w:r>
    </w:p>
    <w:p w14:paraId="03121A9F" w14:textId="6AD745B2" w:rsidR="00580FC0" w:rsidRPr="00580FC0" w:rsidRDefault="00580FC0">
      <w:pPr>
        <w:rPr>
          <w:rFonts w:ascii="Arial" w:eastAsiaTheme="majorEastAsia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sz w:val="24"/>
          <w:szCs w:val="24"/>
        </w:rPr>
        <w:br w:type="page"/>
      </w:r>
    </w:p>
    <w:p w14:paraId="4ECAB664" w14:textId="28954F5B" w:rsidR="00010586" w:rsidRPr="00580FC0" w:rsidRDefault="00000000" w:rsidP="00B74F52">
      <w:pPr>
        <w:pStyle w:val="Ttulo1"/>
        <w:rPr>
          <w:rFonts w:ascii="Arial" w:hAnsi="Arial" w:cs="Arial"/>
          <w:color w:val="auto"/>
          <w:sz w:val="24"/>
          <w:szCs w:val="24"/>
        </w:rPr>
      </w:pPr>
      <w:r w:rsidRPr="00580FC0">
        <w:rPr>
          <w:rFonts w:ascii="Arial" w:hAnsi="Arial" w:cs="Arial"/>
          <w:color w:val="auto"/>
          <w:sz w:val="24"/>
          <w:szCs w:val="24"/>
        </w:rPr>
        <w:lastRenderedPageBreak/>
        <w:t>Informe: Evidencias Científicas de la Evolución de la Vida</w:t>
      </w:r>
    </w:p>
    <w:p w14:paraId="1F903E1C" w14:textId="77777777" w:rsidR="00B74F52" w:rsidRPr="00580FC0" w:rsidRDefault="00B74F52" w:rsidP="00B74F52"/>
    <w:p w14:paraId="51C3FE5B" w14:textId="77777777" w:rsidR="00010586" w:rsidRPr="00580FC0" w:rsidRDefault="00000000" w:rsidP="00B74F52">
      <w:pPr>
        <w:rPr>
          <w:rFonts w:ascii="Arial" w:hAnsi="Arial" w:cs="Arial"/>
          <w:sz w:val="24"/>
          <w:szCs w:val="24"/>
        </w:rPr>
      </w:pPr>
      <w:r w:rsidRPr="00580FC0">
        <w:rPr>
          <w:rFonts w:ascii="Arial" w:hAnsi="Arial" w:cs="Arial"/>
          <w:sz w:val="24"/>
          <w:szCs w:val="24"/>
        </w:rPr>
        <w:t>Este informe desarrolla la competencia de identificar evidencias científicas que demuestran la evolución de la vida, aplicando los tres niveles literarios: literal, inferencial y crítico-valorativo. Se abordan los principales campos de estudio que sustentan la teoría evolutiva: paleontología, anatomía comparada, embriología y biología molecular. El propósito es ofrecer un análisis estructurado, extenso y claro que facilite la comprensión profunda del proceso evolutivo.</w:t>
      </w:r>
    </w:p>
    <w:p w14:paraId="6701D5B4" w14:textId="77777777" w:rsidR="00010586" w:rsidRPr="00580FC0" w:rsidRDefault="00000000" w:rsidP="00B74F52">
      <w:pPr>
        <w:pStyle w:val="Ttulo2"/>
        <w:rPr>
          <w:rFonts w:ascii="Arial" w:hAnsi="Arial" w:cs="Arial"/>
          <w:color w:val="auto"/>
          <w:sz w:val="24"/>
          <w:szCs w:val="24"/>
        </w:rPr>
      </w:pPr>
      <w:r w:rsidRPr="00580FC0">
        <w:rPr>
          <w:rFonts w:ascii="Arial" w:hAnsi="Arial" w:cs="Arial"/>
          <w:color w:val="auto"/>
          <w:sz w:val="24"/>
          <w:szCs w:val="24"/>
        </w:rPr>
        <w:t>1. Paleontología</w:t>
      </w:r>
    </w:p>
    <w:p w14:paraId="4C7042C4" w14:textId="38727157" w:rsidR="00010586" w:rsidRPr="00580FC0" w:rsidRDefault="00000000" w:rsidP="00B74F52">
      <w:pPr>
        <w:rPr>
          <w:rFonts w:ascii="Arial" w:hAnsi="Arial" w:cs="Arial"/>
          <w:sz w:val="24"/>
          <w:szCs w:val="24"/>
        </w:rPr>
      </w:pPr>
      <w:r w:rsidRPr="00580FC0">
        <w:rPr>
          <w:rFonts w:ascii="Arial" w:hAnsi="Arial" w:cs="Arial"/>
          <w:sz w:val="24"/>
          <w:szCs w:val="24"/>
        </w:rPr>
        <w:t xml:space="preserve"> La paleontología estudia los fósiles, restos de organismos que vivieron en épocas pasadas. El registro fósil muestra la existencia de especies ya extintas y evidencia cambios progresivos en la anatomía a lo largo del tiempo geológico.</w:t>
      </w:r>
      <w:r w:rsidRPr="00580FC0">
        <w:rPr>
          <w:rFonts w:ascii="Arial" w:hAnsi="Arial" w:cs="Arial"/>
          <w:sz w:val="24"/>
          <w:szCs w:val="24"/>
        </w:rPr>
        <w:br/>
        <w:t xml:space="preserve"> El análisis de fósiles permite deducir relaciones entre especies antiguas y modernas, reconstruir líneas evolutivas y comprender la transición entre grupos biológicos.</w:t>
      </w:r>
      <w:r w:rsidRPr="00580FC0">
        <w:rPr>
          <w:rFonts w:ascii="Arial" w:hAnsi="Arial" w:cs="Arial"/>
          <w:sz w:val="24"/>
          <w:szCs w:val="24"/>
        </w:rPr>
        <w:br/>
        <w:t xml:space="preserve"> La paleontología aporta pruebas concretas que contradicen la idea de que las especies son inmutables. Su aporte permite evaluar críticamente los cambios en la biodiversidad y comprender la importancia de conservar el patrimonio fósil.</w:t>
      </w:r>
    </w:p>
    <w:p w14:paraId="09BE3405" w14:textId="77777777" w:rsidR="00010586" w:rsidRPr="00580FC0" w:rsidRDefault="00000000" w:rsidP="00B74F52">
      <w:pPr>
        <w:pStyle w:val="Ttulo2"/>
        <w:rPr>
          <w:rFonts w:ascii="Arial" w:hAnsi="Arial" w:cs="Arial"/>
          <w:color w:val="auto"/>
          <w:sz w:val="24"/>
          <w:szCs w:val="24"/>
        </w:rPr>
      </w:pPr>
      <w:r w:rsidRPr="00580FC0">
        <w:rPr>
          <w:rFonts w:ascii="Arial" w:hAnsi="Arial" w:cs="Arial"/>
          <w:color w:val="auto"/>
          <w:sz w:val="24"/>
          <w:szCs w:val="24"/>
        </w:rPr>
        <w:t>2. Anatomía Comparada</w:t>
      </w:r>
    </w:p>
    <w:p w14:paraId="60DE5CFC" w14:textId="16272B94" w:rsidR="00010586" w:rsidRPr="00580FC0" w:rsidRDefault="00000000" w:rsidP="00B74F52">
      <w:pPr>
        <w:rPr>
          <w:rFonts w:ascii="Arial" w:hAnsi="Arial" w:cs="Arial"/>
          <w:sz w:val="24"/>
          <w:szCs w:val="24"/>
        </w:rPr>
      </w:pPr>
      <w:r w:rsidRPr="00580FC0">
        <w:rPr>
          <w:rFonts w:ascii="Arial" w:hAnsi="Arial" w:cs="Arial"/>
          <w:sz w:val="24"/>
          <w:szCs w:val="24"/>
        </w:rPr>
        <w:t>La anatomía comparada examina las similitudes y diferencias estructurales de los organismos. Considera órganos homólogos, análogos y vestigiales.</w:t>
      </w:r>
      <w:r w:rsidRPr="00580FC0">
        <w:rPr>
          <w:rFonts w:ascii="Arial" w:hAnsi="Arial" w:cs="Arial"/>
          <w:sz w:val="24"/>
          <w:szCs w:val="24"/>
        </w:rPr>
        <w:br/>
        <w:t>Las semejanzas estructurales permiten inferir un origen común. Por ejemplo, las extremidades de mamíferos muestran patrones óseos equivalentes, lo cual sugiere una base evolutiva compartida.</w:t>
      </w:r>
      <w:r w:rsidRPr="00580FC0">
        <w:rPr>
          <w:rFonts w:ascii="Arial" w:hAnsi="Arial" w:cs="Arial"/>
          <w:sz w:val="24"/>
          <w:szCs w:val="24"/>
        </w:rPr>
        <w:br/>
        <w:t>El análisis comparado impulsa reflexiones sobre la adaptación y la divergencia evolutiva. Además, fortalece la comprensión de cómo los organismos responden a cambios ambientales.</w:t>
      </w:r>
    </w:p>
    <w:p w14:paraId="4DA22017" w14:textId="77777777" w:rsidR="00010586" w:rsidRPr="00580FC0" w:rsidRDefault="00000000" w:rsidP="00B74F52">
      <w:pPr>
        <w:pStyle w:val="Ttulo2"/>
        <w:rPr>
          <w:rFonts w:ascii="Arial" w:hAnsi="Arial" w:cs="Arial"/>
          <w:color w:val="auto"/>
          <w:sz w:val="24"/>
          <w:szCs w:val="24"/>
        </w:rPr>
      </w:pPr>
      <w:r w:rsidRPr="00580FC0">
        <w:rPr>
          <w:rFonts w:ascii="Arial" w:hAnsi="Arial" w:cs="Arial"/>
          <w:color w:val="auto"/>
          <w:sz w:val="24"/>
          <w:szCs w:val="24"/>
        </w:rPr>
        <w:t>3. Embriología</w:t>
      </w:r>
    </w:p>
    <w:p w14:paraId="5FB5E573" w14:textId="6615E068" w:rsidR="00010586" w:rsidRPr="00580FC0" w:rsidRDefault="00000000" w:rsidP="00B74F52">
      <w:pPr>
        <w:rPr>
          <w:rFonts w:ascii="Arial" w:hAnsi="Arial" w:cs="Arial"/>
          <w:sz w:val="24"/>
          <w:szCs w:val="24"/>
        </w:rPr>
      </w:pPr>
      <w:r w:rsidRPr="00580FC0">
        <w:rPr>
          <w:rFonts w:ascii="Arial" w:hAnsi="Arial" w:cs="Arial"/>
          <w:sz w:val="24"/>
          <w:szCs w:val="24"/>
        </w:rPr>
        <w:t>La embriología comparada estudia las etapas iniciales del desarrollo de diferentes especies. Se observan similitudes en vertebrados, como la presencia de colas y hendiduras faríngeas.</w:t>
      </w:r>
      <w:r w:rsidRPr="00580FC0">
        <w:rPr>
          <w:rFonts w:ascii="Arial" w:hAnsi="Arial" w:cs="Arial"/>
          <w:sz w:val="24"/>
          <w:szCs w:val="24"/>
        </w:rPr>
        <w:br/>
        <w:t xml:space="preserve"> Estas semejanzas permiten inferir que las especies comparten un ancestro común y que las diferencias surgen a medida que avanza el desarrollo embrionario.</w:t>
      </w:r>
      <w:r w:rsidRPr="00580FC0">
        <w:rPr>
          <w:rFonts w:ascii="Arial" w:hAnsi="Arial" w:cs="Arial"/>
          <w:sz w:val="24"/>
          <w:szCs w:val="24"/>
        </w:rPr>
        <w:br/>
        <w:t xml:space="preserve"> La embriología invita a valorar la continuidad biológica entre especies y la importancia de los procesos de desarrollo en la diferenciación evolutiva.</w:t>
      </w:r>
    </w:p>
    <w:p w14:paraId="60305779" w14:textId="77777777" w:rsidR="00010586" w:rsidRPr="00580FC0" w:rsidRDefault="00000000" w:rsidP="00B74F52">
      <w:pPr>
        <w:pStyle w:val="Ttulo2"/>
        <w:rPr>
          <w:rFonts w:ascii="Arial" w:hAnsi="Arial" w:cs="Arial"/>
          <w:color w:val="auto"/>
          <w:sz w:val="24"/>
          <w:szCs w:val="24"/>
        </w:rPr>
      </w:pPr>
      <w:r w:rsidRPr="00580FC0">
        <w:rPr>
          <w:rFonts w:ascii="Arial" w:hAnsi="Arial" w:cs="Arial"/>
          <w:color w:val="auto"/>
          <w:sz w:val="24"/>
          <w:szCs w:val="24"/>
        </w:rPr>
        <w:lastRenderedPageBreak/>
        <w:t>4. Biología Molecular</w:t>
      </w:r>
    </w:p>
    <w:p w14:paraId="3998AFF9" w14:textId="77E9606C" w:rsidR="00010586" w:rsidRPr="00580FC0" w:rsidRDefault="00000000" w:rsidP="00B74F52">
      <w:pPr>
        <w:rPr>
          <w:rFonts w:ascii="Arial" w:hAnsi="Arial" w:cs="Arial"/>
          <w:sz w:val="24"/>
          <w:szCs w:val="24"/>
        </w:rPr>
      </w:pPr>
      <w:r w:rsidRPr="00580FC0">
        <w:rPr>
          <w:rFonts w:ascii="Arial" w:hAnsi="Arial" w:cs="Arial"/>
          <w:sz w:val="24"/>
          <w:szCs w:val="24"/>
        </w:rPr>
        <w:t xml:space="preserve"> La biología molecular estudia los componentes genéticos y las moléculas esenciales para la vida, como el ADN y las proteínas.</w:t>
      </w:r>
      <w:r w:rsidRPr="00580FC0">
        <w:rPr>
          <w:rFonts w:ascii="Arial" w:hAnsi="Arial" w:cs="Arial"/>
          <w:sz w:val="24"/>
          <w:szCs w:val="24"/>
        </w:rPr>
        <w:br/>
      </w:r>
      <w:r w:rsidRPr="00580FC0">
        <w:rPr>
          <w:rFonts w:ascii="Arial" w:hAnsi="Arial" w:cs="Arial"/>
          <w:sz w:val="24"/>
          <w:szCs w:val="24"/>
        </w:rPr>
        <w:br/>
        <w:t xml:space="preserve"> Al comparar secuencias de ADN, se infieren relaciones evolutivas entre organismos. Entre más parecidas son las secuencias, más cercanas están evolutivamente.</w:t>
      </w:r>
      <w:r w:rsidRPr="00580FC0">
        <w:rPr>
          <w:rFonts w:ascii="Arial" w:hAnsi="Arial" w:cs="Arial"/>
          <w:sz w:val="24"/>
          <w:szCs w:val="24"/>
        </w:rPr>
        <w:br/>
        <w:t>Esta evidencia molecular confirma y complementa lo observado en registros fósiles y estructuras anatómicas. Permite evaluar el grado de parentesco evolutivo con una precisión sin precedentes.</w:t>
      </w:r>
    </w:p>
    <w:p w14:paraId="1EC8092D" w14:textId="77777777" w:rsidR="007554DD" w:rsidRPr="00580FC0" w:rsidRDefault="007554DD">
      <w:pPr>
        <w:rPr>
          <w:rFonts w:ascii="Arial" w:hAnsi="Arial" w:cs="Arial"/>
          <w:b/>
          <w:bCs/>
          <w:sz w:val="24"/>
          <w:szCs w:val="24"/>
        </w:rPr>
      </w:pPr>
    </w:p>
    <w:p w14:paraId="78B50454" w14:textId="5022DA6E" w:rsidR="00963C7D" w:rsidRPr="00580FC0" w:rsidRDefault="007554D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>Paleontología</w:t>
      </w:r>
    </w:p>
    <w:p w14:paraId="24AC9386" w14:textId="6DE06500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E7ED89B" wp14:editId="14941296">
            <wp:simplePos x="0" y="0"/>
            <wp:positionH relativeFrom="column">
              <wp:posOffset>2381250</wp:posOffset>
            </wp:positionH>
            <wp:positionV relativeFrom="paragraph">
              <wp:posOffset>116205</wp:posOffset>
            </wp:positionV>
            <wp:extent cx="1928678" cy="1199115"/>
            <wp:effectExtent l="0" t="0" r="0" b="1270"/>
            <wp:wrapNone/>
            <wp:docPr id="2147206656" name="Imagen 3" descr="Imagen que contiene jugando, gato, sostener, pues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06656" name="Imagen 3" descr="Imagen que contiene jugando, gato, sostener, puest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8678" cy="11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FC0"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51D94638" wp14:editId="2B87379A">
            <wp:simplePos x="0" y="0"/>
            <wp:positionH relativeFrom="column">
              <wp:posOffset>38100</wp:posOffset>
            </wp:positionH>
            <wp:positionV relativeFrom="paragraph">
              <wp:posOffset>163195</wp:posOffset>
            </wp:positionV>
            <wp:extent cx="1865376" cy="1277112"/>
            <wp:effectExtent l="0" t="0" r="1905" b="0"/>
            <wp:wrapNone/>
            <wp:docPr id="277609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09404" name="Imagen 2776094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007C0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9CB8482" w14:textId="11ED5058" w:rsidR="00E1486C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4D9F152" wp14:editId="1F4931A2">
            <wp:simplePos x="0" y="0"/>
            <wp:positionH relativeFrom="column">
              <wp:posOffset>2381250</wp:posOffset>
            </wp:positionH>
            <wp:positionV relativeFrom="paragraph">
              <wp:posOffset>1111250</wp:posOffset>
            </wp:positionV>
            <wp:extent cx="1976755" cy="1317625"/>
            <wp:effectExtent l="0" t="0" r="4445" b="0"/>
            <wp:wrapNone/>
            <wp:docPr id="16852661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6161" name="Imagen 16852661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FC0"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B002B98" wp14:editId="283C5CEC">
            <wp:simplePos x="0" y="0"/>
            <wp:positionH relativeFrom="column">
              <wp:posOffset>38100</wp:posOffset>
            </wp:positionH>
            <wp:positionV relativeFrom="paragraph">
              <wp:posOffset>1147445</wp:posOffset>
            </wp:positionV>
            <wp:extent cx="1865376" cy="1249680"/>
            <wp:effectExtent l="0" t="0" r="1905" b="7620"/>
            <wp:wrapNone/>
            <wp:docPr id="2056718469" name="Imagen 2" descr="Imagen que contiene persona, hombre, tabla, muj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18469" name="Imagen 2" descr="Imagen que contiene persona, hombre, tabla, mujer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86C" w:rsidRPr="00580FC0">
        <w:rPr>
          <w:rFonts w:ascii="Arial" w:hAnsi="Arial" w:cs="Arial"/>
          <w:b/>
          <w:bCs/>
          <w:sz w:val="24"/>
          <w:szCs w:val="24"/>
        </w:rPr>
        <w:br w:type="page"/>
      </w:r>
    </w:p>
    <w:p w14:paraId="12CDF3C1" w14:textId="6B8D4D79" w:rsidR="00963C7D" w:rsidRPr="00580FC0" w:rsidRDefault="00C2375A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lastRenderedPageBreak/>
        <w:t>A</w:t>
      </w:r>
      <w:r w:rsidRPr="00580FC0">
        <w:rPr>
          <w:rFonts w:ascii="Arial" w:hAnsi="Arial" w:cs="Arial"/>
          <w:b/>
          <w:bCs/>
          <w:sz w:val="24"/>
          <w:szCs w:val="24"/>
        </w:rPr>
        <w:t>natomía comparada</w:t>
      </w:r>
    </w:p>
    <w:p w14:paraId="4A081359" w14:textId="1D47FFCD" w:rsidR="00C2375A" w:rsidRPr="00580FC0" w:rsidRDefault="00C2375A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drawing>
          <wp:inline distT="0" distB="0" distL="0" distR="0" wp14:anchorId="6E2D1D42" wp14:editId="76E2A866">
            <wp:extent cx="2235994" cy="2981325"/>
            <wp:effectExtent l="0" t="0" r="0" b="0"/>
            <wp:docPr id="1990385622" name="Imagen 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85622" name="Imagen 5" descr="Diagram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891" cy="299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146C" w14:textId="77777777" w:rsidR="00C2375A" w:rsidRPr="00580FC0" w:rsidRDefault="00C2375A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F0E9C4" w14:textId="0C8F7010" w:rsidR="00963C7D" w:rsidRPr="00580FC0" w:rsidRDefault="00580FC0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>E</w:t>
      </w:r>
      <w:r w:rsidRPr="00580FC0">
        <w:rPr>
          <w:rFonts w:ascii="Arial" w:hAnsi="Arial" w:cs="Arial"/>
          <w:b/>
          <w:bCs/>
          <w:sz w:val="24"/>
          <w:szCs w:val="24"/>
        </w:rPr>
        <w:t>mbriolog</w:t>
      </w:r>
      <w:r w:rsidRPr="00580FC0">
        <w:rPr>
          <w:rFonts w:ascii="Arial" w:hAnsi="Arial" w:cs="Arial"/>
          <w:b/>
          <w:bCs/>
          <w:sz w:val="24"/>
          <w:szCs w:val="24"/>
        </w:rPr>
        <w:t>ía</w:t>
      </w:r>
    </w:p>
    <w:p w14:paraId="008A62B2" w14:textId="05730AD3" w:rsidR="00580FC0" w:rsidRPr="00580FC0" w:rsidRDefault="00580FC0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drawing>
          <wp:inline distT="0" distB="0" distL="0" distR="0" wp14:anchorId="2972F45B" wp14:editId="6ED5AB05">
            <wp:extent cx="3886200" cy="1958645"/>
            <wp:effectExtent l="0" t="0" r="0" b="3810"/>
            <wp:docPr id="61302727" name="Imagen 6" descr="Imagen que contiene aliment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2727" name="Imagen 6" descr="Imagen que contiene alimentos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1579" cy="197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EF3D" w14:textId="7F226AB9" w:rsidR="00963C7D" w:rsidRPr="00580FC0" w:rsidRDefault="00580FC0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t>biología Molecular</w:t>
      </w:r>
    </w:p>
    <w:p w14:paraId="53054EC4" w14:textId="5500F8C0" w:rsidR="00963C7D" w:rsidRPr="00580FC0" w:rsidRDefault="00580FC0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lastRenderedPageBreak/>
        <w:drawing>
          <wp:inline distT="0" distB="0" distL="0" distR="0" wp14:anchorId="2153D3B0" wp14:editId="532C40A6">
            <wp:extent cx="2466975" cy="1847850"/>
            <wp:effectExtent l="0" t="0" r="9525" b="0"/>
            <wp:docPr id="1373793692" name="Imagen 7" descr="Imagen que contiene mujer, tabla, cuarto de hospital, agu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93692" name="Imagen 7" descr="Imagen que contiene mujer, tabla, cuarto de hospital, agua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D98B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1109780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0C567F4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A9CA026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87168F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D76A5AE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CB3E276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9175FC5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9EF17C1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EE46B5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710D98C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FA2DF7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C50D67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F18541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1C16BE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2A34546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3DF8B3B" w14:textId="77777777" w:rsidR="00963C7D" w:rsidRPr="00580FC0" w:rsidRDefault="00963C7D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63B7F7" w14:textId="77777777" w:rsidR="00580FC0" w:rsidRPr="00580FC0" w:rsidRDefault="00580FC0" w:rsidP="00963C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44FB56C" w14:textId="77777777" w:rsidR="00B74F52" w:rsidRPr="00580FC0" w:rsidRDefault="00B74F52" w:rsidP="00B74F52">
      <w:pPr>
        <w:rPr>
          <w:rFonts w:ascii="Arial" w:hAnsi="Arial" w:cs="Arial"/>
          <w:sz w:val="24"/>
          <w:szCs w:val="24"/>
        </w:rPr>
      </w:pPr>
    </w:p>
    <w:p w14:paraId="601AD740" w14:textId="54BCB8C4" w:rsidR="00B74F52" w:rsidRPr="00580FC0" w:rsidRDefault="00E1486C" w:rsidP="00B74F52">
      <w:pPr>
        <w:rPr>
          <w:rFonts w:ascii="Arial" w:hAnsi="Arial" w:cs="Arial"/>
          <w:b/>
          <w:bCs/>
          <w:sz w:val="24"/>
          <w:szCs w:val="24"/>
        </w:rPr>
      </w:pPr>
      <w:r w:rsidRPr="00580FC0">
        <w:rPr>
          <w:rFonts w:ascii="Arial" w:hAnsi="Arial" w:cs="Arial"/>
          <w:b/>
          <w:bCs/>
          <w:sz w:val="24"/>
          <w:szCs w:val="24"/>
        </w:rPr>
        <w:lastRenderedPageBreak/>
        <w:t>Cuadro Comparativo</w:t>
      </w:r>
    </w:p>
    <w:p w14:paraId="75720409" w14:textId="77777777" w:rsidR="00B74F52" w:rsidRPr="00580FC0" w:rsidRDefault="00B74F52" w:rsidP="00B74F52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426" w:type="dxa"/>
        <w:tblInd w:w="38" w:type="dxa"/>
        <w:tblLook w:val="04A0" w:firstRow="1" w:lastRow="0" w:firstColumn="1" w:lastColumn="0" w:noHBand="0" w:noVBand="1"/>
      </w:tblPr>
      <w:tblGrid>
        <w:gridCol w:w="2195"/>
        <w:gridCol w:w="2195"/>
        <w:gridCol w:w="2195"/>
        <w:gridCol w:w="2841"/>
      </w:tblGrid>
      <w:tr w:rsidR="00B74F52" w:rsidRPr="00580FC0" w14:paraId="69A40A96" w14:textId="77777777" w:rsidTr="00E1486C">
        <w:tc>
          <w:tcPr>
            <w:tcW w:w="2195" w:type="dxa"/>
            <w:shd w:val="clear" w:color="auto" w:fill="C6D9F1" w:themeFill="text2" w:themeFillTint="33"/>
          </w:tcPr>
          <w:p w14:paraId="179AB0C9" w14:textId="0842B907" w:rsidR="00B74F52" w:rsidRPr="00580FC0" w:rsidRDefault="00B74F52" w:rsidP="00B74F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0FC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Evidencia</w:t>
            </w:r>
          </w:p>
        </w:tc>
        <w:tc>
          <w:tcPr>
            <w:tcW w:w="2195" w:type="dxa"/>
            <w:shd w:val="clear" w:color="auto" w:fill="C6D9F1" w:themeFill="text2" w:themeFillTint="33"/>
          </w:tcPr>
          <w:p w14:paraId="247CBA8E" w14:textId="6EE3BA1F" w:rsidR="00B74F52" w:rsidRPr="00580FC0" w:rsidRDefault="00B74F52" w:rsidP="00B74F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0FC0">
              <w:rPr>
                <w:rFonts w:ascii="Arial" w:hAnsi="Arial" w:cs="Arial"/>
                <w:b/>
                <w:bCs/>
                <w:sz w:val="24"/>
                <w:szCs w:val="24"/>
              </w:rPr>
              <w:t>Que estudia (definición)</w:t>
            </w:r>
          </w:p>
        </w:tc>
        <w:tc>
          <w:tcPr>
            <w:tcW w:w="2195" w:type="dxa"/>
            <w:shd w:val="clear" w:color="auto" w:fill="C6D9F1" w:themeFill="text2" w:themeFillTint="33"/>
          </w:tcPr>
          <w:p w14:paraId="600DA184" w14:textId="0F61EE03" w:rsidR="00B74F52" w:rsidRPr="00580FC0" w:rsidRDefault="00B74F52" w:rsidP="00B74F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0FC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Que demuestra sobre la evolución </w:t>
            </w:r>
          </w:p>
        </w:tc>
        <w:tc>
          <w:tcPr>
            <w:tcW w:w="2841" w:type="dxa"/>
            <w:shd w:val="clear" w:color="auto" w:fill="C6D9F1" w:themeFill="text2" w:themeFillTint="33"/>
          </w:tcPr>
          <w:p w14:paraId="05FA2D2F" w14:textId="7CF6E462" w:rsidR="00B74F52" w:rsidRPr="00580FC0" w:rsidRDefault="00B74F52" w:rsidP="00B74F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0FC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Ejemplos Principales </w:t>
            </w:r>
          </w:p>
        </w:tc>
      </w:tr>
      <w:tr w:rsidR="00B74F52" w:rsidRPr="00580FC0" w14:paraId="0D4C17BB" w14:textId="77777777" w:rsidTr="00E1486C">
        <w:tc>
          <w:tcPr>
            <w:tcW w:w="2195" w:type="dxa"/>
            <w:shd w:val="clear" w:color="auto" w:fill="E5B8B7" w:themeFill="accent2" w:themeFillTint="66"/>
          </w:tcPr>
          <w:p w14:paraId="55370444" w14:textId="2416D9B2" w:rsidR="00B74F52" w:rsidRPr="00580FC0" w:rsidRDefault="00B74F52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Paleontología</w:t>
            </w:r>
          </w:p>
        </w:tc>
        <w:tc>
          <w:tcPr>
            <w:tcW w:w="2195" w:type="dxa"/>
          </w:tcPr>
          <w:p w14:paraId="3AAB947F" w14:textId="6358D7C2" w:rsidR="00B74F52" w:rsidRPr="00580FC0" w:rsidRDefault="00B74F52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Estudia los fósiles, es decir, restos o huellas de organismos que vivieron en el pasado.</w:t>
            </w:r>
          </w:p>
        </w:tc>
        <w:tc>
          <w:tcPr>
            <w:tcW w:w="2195" w:type="dxa"/>
          </w:tcPr>
          <w:p w14:paraId="636CA646" w14:textId="251D66A5" w:rsidR="00B74F52" w:rsidRPr="00580FC0" w:rsidRDefault="00E1486C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 xml:space="preserve">Muestra cambios graduales en las especies, transiciones evolutivas y extinciones. Evidencia que las especies no han </w:t>
            </w:r>
            <w:r w:rsidRPr="00580FC0">
              <w:rPr>
                <w:rFonts w:ascii="Arial" w:hAnsi="Arial" w:cs="Arial"/>
                <w:sz w:val="24"/>
                <w:szCs w:val="24"/>
              </w:rPr>
              <w:t>sido</w:t>
            </w:r>
            <w:r w:rsidRPr="00580FC0">
              <w:rPr>
                <w:rFonts w:ascii="Arial" w:hAnsi="Arial" w:cs="Arial"/>
                <w:sz w:val="24"/>
                <w:szCs w:val="24"/>
              </w:rPr>
              <w:t xml:space="preserve"> estáticas.</w:t>
            </w:r>
          </w:p>
        </w:tc>
        <w:tc>
          <w:tcPr>
            <w:tcW w:w="2841" w:type="dxa"/>
          </w:tcPr>
          <w:p w14:paraId="5A33B8F9" w14:textId="5299F113" w:rsidR="00B74F52" w:rsidRPr="00580FC0" w:rsidRDefault="00E1486C" w:rsidP="00B74F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0FC0">
              <w:rPr>
                <w:rFonts w:ascii="Arial" w:hAnsi="Arial" w:cs="Arial"/>
                <w:i/>
                <w:iCs/>
                <w:sz w:val="24"/>
                <w:szCs w:val="24"/>
              </w:rPr>
              <w:t>Archaeopteryx</w:t>
            </w:r>
            <w:proofErr w:type="spellEnd"/>
            <w:r w:rsidRPr="00580FC0">
              <w:rPr>
                <w:rFonts w:ascii="Arial" w:hAnsi="Arial" w:cs="Arial"/>
                <w:sz w:val="24"/>
                <w:szCs w:val="24"/>
              </w:rPr>
              <w:t xml:space="preserve"> (transición reptil–ave), evolución del caballo, mamíferos primitivos.</w:t>
            </w:r>
          </w:p>
        </w:tc>
      </w:tr>
      <w:tr w:rsidR="00B74F52" w:rsidRPr="00580FC0" w14:paraId="3C50A49B" w14:textId="77777777" w:rsidTr="00E1486C">
        <w:tc>
          <w:tcPr>
            <w:tcW w:w="2195" w:type="dxa"/>
            <w:shd w:val="clear" w:color="auto" w:fill="E5B8B7" w:themeFill="accent2" w:themeFillTint="66"/>
          </w:tcPr>
          <w:p w14:paraId="3B370A4B" w14:textId="62677ED0" w:rsidR="00B74F52" w:rsidRPr="00580FC0" w:rsidRDefault="00B74F52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Anatomía comparada</w:t>
            </w:r>
          </w:p>
        </w:tc>
        <w:tc>
          <w:tcPr>
            <w:tcW w:w="2195" w:type="dxa"/>
          </w:tcPr>
          <w:p w14:paraId="4992C346" w14:textId="1D57CA38" w:rsidR="00B74F52" w:rsidRPr="00580FC0" w:rsidRDefault="00B74F52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Analiza similitudes y diferencias estructurales entre organismos (órganos homólogos, análogos y vestigiales).</w:t>
            </w:r>
          </w:p>
        </w:tc>
        <w:tc>
          <w:tcPr>
            <w:tcW w:w="2195" w:type="dxa"/>
          </w:tcPr>
          <w:p w14:paraId="1E5A4114" w14:textId="2503B135" w:rsidR="00B74F52" w:rsidRPr="00580FC0" w:rsidRDefault="00E1486C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Demuestra origen común entre especies y procesos de adaptación a distintos ambientes.</w:t>
            </w:r>
          </w:p>
        </w:tc>
        <w:tc>
          <w:tcPr>
            <w:tcW w:w="2841" w:type="dxa"/>
          </w:tcPr>
          <w:p w14:paraId="077F5E48" w14:textId="505996A7" w:rsidR="00B74F52" w:rsidRPr="00580FC0" w:rsidRDefault="00E1486C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Huesos de extremidades en mamíferos, alas de aves e insectos, apéndice humano.</w:t>
            </w:r>
          </w:p>
        </w:tc>
      </w:tr>
      <w:tr w:rsidR="00B74F52" w:rsidRPr="00580FC0" w14:paraId="5008A38C" w14:textId="77777777" w:rsidTr="00E1486C">
        <w:tc>
          <w:tcPr>
            <w:tcW w:w="2195" w:type="dxa"/>
            <w:shd w:val="clear" w:color="auto" w:fill="E5B8B7" w:themeFill="accent2" w:themeFillTint="66"/>
          </w:tcPr>
          <w:p w14:paraId="7CC7ADD7" w14:textId="55085FC9" w:rsidR="00B74F52" w:rsidRPr="00580FC0" w:rsidRDefault="00B74F52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Embriología</w:t>
            </w:r>
          </w:p>
        </w:tc>
        <w:tc>
          <w:tcPr>
            <w:tcW w:w="2195" w:type="dxa"/>
          </w:tcPr>
          <w:p w14:paraId="136501A7" w14:textId="0B57DB53" w:rsidR="00B74F52" w:rsidRPr="00580FC0" w:rsidRDefault="00B74F52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Compara las etapas tempranas del desarrollo embrionario entre especies.</w:t>
            </w:r>
          </w:p>
        </w:tc>
        <w:tc>
          <w:tcPr>
            <w:tcW w:w="2195" w:type="dxa"/>
          </w:tcPr>
          <w:p w14:paraId="24FD108D" w14:textId="43C04797" w:rsidR="00B74F52" w:rsidRPr="00580FC0" w:rsidRDefault="00E1486C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Evidencia que distintos organismos comparten un mismo patrón de desarrollo, indicando un ancestro común.</w:t>
            </w:r>
          </w:p>
        </w:tc>
        <w:tc>
          <w:tcPr>
            <w:tcW w:w="2841" w:type="dxa"/>
          </w:tcPr>
          <w:p w14:paraId="1B70C37F" w14:textId="7FE7C60A" w:rsidR="00B74F52" w:rsidRPr="00580FC0" w:rsidRDefault="00E1486C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Embriones de vertebrados con colas, arcos faríngeos y estructuras similares.</w:t>
            </w:r>
          </w:p>
        </w:tc>
      </w:tr>
      <w:tr w:rsidR="00B74F52" w:rsidRPr="00580FC0" w14:paraId="1D3A771A" w14:textId="77777777" w:rsidTr="00E1486C">
        <w:trPr>
          <w:trHeight w:val="1975"/>
        </w:trPr>
        <w:tc>
          <w:tcPr>
            <w:tcW w:w="2195" w:type="dxa"/>
            <w:shd w:val="clear" w:color="auto" w:fill="E5B8B7" w:themeFill="accent2" w:themeFillTint="66"/>
          </w:tcPr>
          <w:p w14:paraId="062E292D" w14:textId="77777777" w:rsidR="00B74F52" w:rsidRPr="00580FC0" w:rsidRDefault="00B74F52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Biología molecular</w:t>
            </w:r>
          </w:p>
          <w:p w14:paraId="59774EF8" w14:textId="77777777" w:rsidR="00E1486C" w:rsidRPr="00580FC0" w:rsidRDefault="00E1486C" w:rsidP="00E148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7057A" w14:textId="3AA0188C" w:rsidR="00E1486C" w:rsidRPr="00580FC0" w:rsidRDefault="00E1486C" w:rsidP="00E148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5" w:type="dxa"/>
          </w:tcPr>
          <w:p w14:paraId="4F1A0E6F" w14:textId="57AA861D" w:rsidR="00B74F52" w:rsidRPr="00580FC0" w:rsidRDefault="00E1486C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Estudia el ADN, proteínas y otras moléculas para comparar especies.</w:t>
            </w:r>
          </w:p>
        </w:tc>
        <w:tc>
          <w:tcPr>
            <w:tcW w:w="2195" w:type="dxa"/>
          </w:tcPr>
          <w:p w14:paraId="35A88E91" w14:textId="2AACEFA1" w:rsidR="00B74F52" w:rsidRPr="00580FC0" w:rsidRDefault="00E1486C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Confirma relaciones evolutivas con alta precisión y demuestra un código genético universal.</w:t>
            </w:r>
          </w:p>
        </w:tc>
        <w:tc>
          <w:tcPr>
            <w:tcW w:w="2841" w:type="dxa"/>
          </w:tcPr>
          <w:p w14:paraId="1E722D24" w14:textId="4789D31A" w:rsidR="00B74F52" w:rsidRPr="00580FC0" w:rsidRDefault="00E1486C" w:rsidP="00B74F52">
            <w:pPr>
              <w:rPr>
                <w:rFonts w:ascii="Arial" w:hAnsi="Arial" w:cs="Arial"/>
                <w:sz w:val="24"/>
                <w:szCs w:val="24"/>
              </w:rPr>
            </w:pPr>
            <w:r w:rsidRPr="00580FC0">
              <w:rPr>
                <w:rFonts w:ascii="Arial" w:hAnsi="Arial" w:cs="Arial"/>
                <w:sz w:val="24"/>
                <w:szCs w:val="24"/>
              </w:rPr>
              <w:t>Comparación de ADN humano y chimpancé, análisis de proteínas como citocromo C.</w:t>
            </w:r>
          </w:p>
        </w:tc>
      </w:tr>
    </w:tbl>
    <w:p w14:paraId="6C19454D" w14:textId="77777777" w:rsidR="00B74F52" w:rsidRPr="00580FC0" w:rsidRDefault="00B74F52" w:rsidP="00B74F52">
      <w:pPr>
        <w:rPr>
          <w:rFonts w:ascii="Arial" w:hAnsi="Arial" w:cs="Arial"/>
          <w:sz w:val="24"/>
          <w:szCs w:val="24"/>
        </w:rPr>
      </w:pPr>
    </w:p>
    <w:p w14:paraId="00E9F47F" w14:textId="77777777" w:rsidR="00B74F52" w:rsidRPr="00580FC0" w:rsidRDefault="00B74F52" w:rsidP="00B74F52">
      <w:pPr>
        <w:rPr>
          <w:rFonts w:ascii="Arial" w:hAnsi="Arial" w:cs="Arial"/>
          <w:sz w:val="24"/>
          <w:szCs w:val="24"/>
        </w:rPr>
      </w:pPr>
    </w:p>
    <w:p w14:paraId="28A39750" w14:textId="77777777" w:rsidR="00B74F52" w:rsidRPr="00580FC0" w:rsidRDefault="00B74F52" w:rsidP="00B74F52">
      <w:pPr>
        <w:rPr>
          <w:rFonts w:ascii="Arial" w:hAnsi="Arial" w:cs="Arial"/>
          <w:sz w:val="24"/>
          <w:szCs w:val="24"/>
        </w:rPr>
      </w:pPr>
    </w:p>
    <w:p w14:paraId="78CDA4B5" w14:textId="77777777" w:rsidR="00B74F52" w:rsidRPr="00580FC0" w:rsidRDefault="00B74F52" w:rsidP="00B74F52">
      <w:pPr>
        <w:rPr>
          <w:rFonts w:ascii="Arial" w:hAnsi="Arial" w:cs="Arial"/>
          <w:sz w:val="24"/>
          <w:szCs w:val="24"/>
        </w:rPr>
      </w:pPr>
    </w:p>
    <w:p w14:paraId="7229BF68" w14:textId="77777777" w:rsidR="00B74F52" w:rsidRPr="00580FC0" w:rsidRDefault="00B74F52" w:rsidP="00B74F52">
      <w:pPr>
        <w:rPr>
          <w:rFonts w:ascii="Arial" w:hAnsi="Arial" w:cs="Arial"/>
          <w:sz w:val="24"/>
          <w:szCs w:val="24"/>
        </w:rPr>
      </w:pPr>
    </w:p>
    <w:p w14:paraId="25C22CA6" w14:textId="77777777" w:rsidR="00B74F52" w:rsidRPr="00580FC0" w:rsidRDefault="00B74F52" w:rsidP="00B74F52">
      <w:pPr>
        <w:rPr>
          <w:rFonts w:ascii="Arial" w:hAnsi="Arial" w:cs="Arial"/>
          <w:sz w:val="24"/>
          <w:szCs w:val="24"/>
        </w:rPr>
      </w:pPr>
    </w:p>
    <w:p w14:paraId="31A3B654" w14:textId="77777777" w:rsidR="00010586" w:rsidRPr="00580FC0" w:rsidRDefault="00000000" w:rsidP="00B74F52">
      <w:pPr>
        <w:pStyle w:val="Ttulo2"/>
        <w:rPr>
          <w:rFonts w:ascii="Arial" w:hAnsi="Arial" w:cs="Arial"/>
          <w:color w:val="auto"/>
          <w:sz w:val="24"/>
          <w:szCs w:val="24"/>
        </w:rPr>
      </w:pPr>
      <w:r w:rsidRPr="00580FC0">
        <w:rPr>
          <w:rFonts w:ascii="Arial" w:hAnsi="Arial" w:cs="Arial"/>
          <w:color w:val="auto"/>
          <w:sz w:val="24"/>
          <w:szCs w:val="24"/>
        </w:rPr>
        <w:t>Conclusión</w:t>
      </w:r>
    </w:p>
    <w:p w14:paraId="70968A4E" w14:textId="7D6CAD05" w:rsidR="00010586" w:rsidRPr="00B74F52" w:rsidRDefault="00000000" w:rsidP="00B74F52">
      <w:pPr>
        <w:rPr>
          <w:rFonts w:ascii="Arial" w:hAnsi="Arial" w:cs="Arial"/>
          <w:sz w:val="24"/>
          <w:szCs w:val="24"/>
          <w:lang w:val="es-NI"/>
        </w:rPr>
      </w:pPr>
      <w:r w:rsidRPr="00580FC0">
        <w:rPr>
          <w:rFonts w:ascii="Arial" w:hAnsi="Arial" w:cs="Arial"/>
          <w:sz w:val="24"/>
          <w:szCs w:val="24"/>
        </w:rPr>
        <w:t xml:space="preserve">Las evidencias científicas analizadas demuestran que la evolución de la vida es un proceso real y verificable. A través de los tres niveles literarios se comprende la evolución como un fenómeno observable, </w:t>
      </w:r>
      <w:r w:rsidR="00B74F52" w:rsidRPr="00580FC0">
        <w:rPr>
          <w:rFonts w:ascii="Arial" w:hAnsi="Arial" w:cs="Arial"/>
          <w:sz w:val="24"/>
          <w:szCs w:val="24"/>
        </w:rPr>
        <w:t>inferirle</w:t>
      </w:r>
      <w:r w:rsidRPr="00580FC0">
        <w:rPr>
          <w:rFonts w:ascii="Arial" w:hAnsi="Arial" w:cs="Arial"/>
          <w:sz w:val="24"/>
          <w:szCs w:val="24"/>
        </w:rPr>
        <w:t xml:space="preserve"> y valorable desde una perspectiva crítica. Cada campo —paleontología, anatomía comparada, embriología y biología molecular— aporta pruebas sólidas que, integradas, explican el origen común de los seres vivos y la diversidad biológica actual.</w:t>
      </w:r>
    </w:p>
    <w:sectPr w:rsidR="00010586" w:rsidRPr="00B74F5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23295939">
    <w:abstractNumId w:val="8"/>
  </w:num>
  <w:num w:numId="2" w16cid:durableId="871650009">
    <w:abstractNumId w:val="6"/>
  </w:num>
  <w:num w:numId="3" w16cid:durableId="2135713113">
    <w:abstractNumId w:val="5"/>
  </w:num>
  <w:num w:numId="4" w16cid:durableId="383456864">
    <w:abstractNumId w:val="4"/>
  </w:num>
  <w:num w:numId="5" w16cid:durableId="629362875">
    <w:abstractNumId w:val="7"/>
  </w:num>
  <w:num w:numId="6" w16cid:durableId="1271474061">
    <w:abstractNumId w:val="3"/>
  </w:num>
  <w:num w:numId="7" w16cid:durableId="1345014153">
    <w:abstractNumId w:val="2"/>
  </w:num>
  <w:num w:numId="8" w16cid:durableId="541867948">
    <w:abstractNumId w:val="1"/>
  </w:num>
  <w:num w:numId="9" w16cid:durableId="145937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0586"/>
    <w:rsid w:val="00034616"/>
    <w:rsid w:val="0006063C"/>
    <w:rsid w:val="0015074B"/>
    <w:rsid w:val="0029639D"/>
    <w:rsid w:val="00326F90"/>
    <w:rsid w:val="00580FC0"/>
    <w:rsid w:val="007554DD"/>
    <w:rsid w:val="00963C7D"/>
    <w:rsid w:val="00AA1D8D"/>
    <w:rsid w:val="00B47730"/>
    <w:rsid w:val="00B74F52"/>
    <w:rsid w:val="00C2375A"/>
    <w:rsid w:val="00CB0664"/>
    <w:rsid w:val="00E1486C"/>
    <w:rsid w:val="00EE187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977B611"/>
  <w14:defaultImageDpi w14:val="300"/>
  <w15:docId w15:val="{EB8FD926-3CB1-4E7C-8971-91E649D8B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668</Words>
  <Characters>4237</Characters>
  <Application>Microsoft Office Word</Application>
  <DocSecurity>0</DocSecurity>
  <Lines>90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Laboratorio de Computación2 PC2 CUR Matagalapa</cp:lastModifiedBy>
  <cp:revision>2</cp:revision>
  <dcterms:created xsi:type="dcterms:W3CDTF">2025-11-15T16:04:00Z</dcterms:created>
  <dcterms:modified xsi:type="dcterms:W3CDTF">2025-11-15T16:04:00Z</dcterms:modified>
  <cp:category/>
</cp:coreProperties>
</file>